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A577E0">
      <w:pPr>
        <w:jc w:val="center"/>
        <w:rPr>
          <w:rFonts w:ascii="黑体" w:hAnsi="黑体" w:eastAsia="黑体"/>
          <w:b/>
          <w:sz w:val="40"/>
          <w:szCs w:val="44"/>
        </w:rPr>
      </w:pPr>
      <w:r>
        <w:rPr>
          <w:rFonts w:hint="eastAsia" w:ascii="黑体" w:hAnsi="黑体" w:eastAsia="黑体"/>
          <w:b/>
          <w:sz w:val="40"/>
          <w:szCs w:val="44"/>
        </w:rPr>
        <w:t>陈星璨</w:t>
      </w:r>
    </w:p>
    <w:p w14:paraId="1A4A487A">
      <w:pPr>
        <w:spacing w:after="100" w:afterLines="30"/>
        <w:jc w:val="center"/>
        <w:rPr>
          <w:rFonts w:asciiTheme="minorEastAsia" w:hAnsiTheme="minorEastAsia"/>
          <w:sz w:val="22"/>
        </w:rPr>
      </w:pPr>
      <w:r>
        <w:rPr>
          <w:rFonts w:hint="eastAsia" w:cs="Segoe UI" w:asciiTheme="minorEastAsia" w:hAnsiTheme="minorEastAsia"/>
          <w:sz w:val="22"/>
        </w:rPr>
        <w:t>+1 206-399-8090  |  xingcan_chen@outlook.com</w:t>
      </w:r>
    </w:p>
    <w:tbl>
      <w:tblPr>
        <w:tblStyle w:val="5"/>
        <w:tblW w:w="1062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4"/>
        <w:gridCol w:w="1843"/>
      </w:tblGrid>
      <w:tr w14:paraId="2C7F7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10627" w:type="dxa"/>
            <w:gridSpan w:val="2"/>
            <w:tcBorders>
              <w:bottom w:val="single" w:color="auto" w:sz="4" w:space="0"/>
            </w:tcBorders>
          </w:tcPr>
          <w:p w14:paraId="0F56CC02">
            <w:pPr>
              <w:spacing w:after="62" w:afterLines="20" w:line="20" w:lineRule="atLeast"/>
              <w:rPr>
                <w:rFonts w:asciiTheme="minorEastAsia" w:hAnsiTheme="minorEastAsia"/>
                <w:b/>
                <w:sz w:val="22"/>
                <w:szCs w:val="21"/>
              </w:rPr>
            </w:pPr>
            <w:r>
              <w:rPr>
                <w:rFonts w:hint="eastAsia" w:asciiTheme="minorEastAsia" w:hAnsiTheme="minorEastAsia"/>
                <w:b/>
                <w:sz w:val="22"/>
                <w:szCs w:val="21"/>
              </w:rPr>
              <w:t>教育背景</w:t>
            </w:r>
          </w:p>
        </w:tc>
      </w:tr>
      <w:tr w14:paraId="3ACD9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8784" w:type="dxa"/>
            <w:tcBorders>
              <w:top w:val="single" w:color="auto" w:sz="4" w:space="0"/>
            </w:tcBorders>
          </w:tcPr>
          <w:p w14:paraId="6660252C">
            <w:pPr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哥伦比亚大学</w:t>
            </w:r>
          </w:p>
          <w:p w14:paraId="564C1292">
            <w:pPr>
              <w:rPr>
                <w:sz w:val="20"/>
                <w:szCs w:val="21"/>
              </w:rPr>
            </w:pPr>
            <w:r>
              <w:rPr>
                <w:rFonts w:hint="eastAsia" w:ascii="楷体" w:hAnsi="楷体" w:eastAsia="楷体"/>
                <w:sz w:val="21"/>
                <w:szCs w:val="21"/>
              </w:rPr>
              <w:t>电气工程 硕士在读</w:t>
            </w:r>
          </w:p>
        </w:tc>
        <w:tc>
          <w:tcPr>
            <w:tcW w:w="1843" w:type="dxa"/>
            <w:tcBorders>
              <w:top w:val="single" w:color="auto" w:sz="4" w:space="0"/>
            </w:tcBorders>
          </w:tcPr>
          <w:p w14:paraId="2894BED5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纽约，美国</w:t>
            </w:r>
          </w:p>
          <w:p w14:paraId="5CFA4FA5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2025.09-2026.12</w:t>
            </w:r>
          </w:p>
        </w:tc>
      </w:tr>
      <w:tr w14:paraId="329435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10627" w:type="dxa"/>
            <w:gridSpan w:val="2"/>
          </w:tcPr>
          <w:p w14:paraId="0395A9E9">
            <w:pPr>
              <w:pStyle w:val="10"/>
              <w:numPr>
                <w:ilvl w:val="0"/>
                <w:numId w:val="1"/>
              </w:numPr>
              <w:ind w:firstLineChars="0"/>
              <w:jc w:val="both"/>
              <w:rPr>
                <w:rFonts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eastAsia="zh-CN"/>
              </w:rPr>
              <w:t>核心课程：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高级逻辑设计、嵌入式系统、高级数字电子电路、MOS 晶体管。</w:t>
            </w:r>
          </w:p>
        </w:tc>
      </w:tr>
      <w:tr w14:paraId="6832CE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8784" w:type="dxa"/>
          </w:tcPr>
          <w:p w14:paraId="02137235">
            <w:pPr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华盛顿大学</w:t>
            </w:r>
          </w:p>
          <w:p w14:paraId="63A55357">
            <w:pPr>
              <w:rPr>
                <w:sz w:val="20"/>
                <w:szCs w:val="21"/>
              </w:rPr>
            </w:pPr>
            <w:r>
              <w:rPr>
                <w:rFonts w:hint="eastAsia" w:ascii="楷体" w:hAnsi="楷体" w:eastAsia="楷体"/>
                <w:sz w:val="21"/>
                <w:szCs w:val="21"/>
              </w:rPr>
              <w:t>电气与计算机工程 本科</w:t>
            </w:r>
          </w:p>
        </w:tc>
        <w:tc>
          <w:tcPr>
            <w:tcW w:w="1843" w:type="dxa"/>
          </w:tcPr>
          <w:p w14:paraId="370B35DF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西雅图，美国</w:t>
            </w:r>
          </w:p>
          <w:p w14:paraId="788069CF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2021.09-2025.06</w:t>
            </w:r>
          </w:p>
        </w:tc>
      </w:tr>
      <w:tr w14:paraId="207222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10627" w:type="dxa"/>
            <w:gridSpan w:val="2"/>
          </w:tcPr>
          <w:p w14:paraId="276CD09F">
            <w:pPr>
              <w:pStyle w:val="10"/>
              <w:numPr>
                <w:ilvl w:val="0"/>
                <w:numId w:val="1"/>
              </w:numPr>
              <w:ind w:firstLineChars="0"/>
              <w:jc w:val="both"/>
              <w:rPr>
                <w:rFonts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eastAsia="zh-CN"/>
              </w:rPr>
              <w:t>核心课程：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数字设计、数字电路与系统、器件与电路 I、电路理论、信号、系统与数据。</w:t>
            </w:r>
          </w:p>
          <w:p w14:paraId="70EED382">
            <w:pPr>
              <w:pStyle w:val="10"/>
              <w:numPr>
                <w:ilvl w:val="0"/>
                <w:numId w:val="1"/>
              </w:numPr>
              <w:ind w:firstLineChars="0"/>
              <w:jc w:val="both"/>
              <w:rPr>
                <w:rFonts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eastAsia="zh-CN"/>
              </w:rPr>
              <w:t>学业表现：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GPA 3.68/4.00，六个学期入选院长嘉许名单（Dean’s List）。</w:t>
            </w:r>
          </w:p>
        </w:tc>
      </w:tr>
      <w:tr w14:paraId="7693E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10627" w:type="dxa"/>
            <w:gridSpan w:val="2"/>
            <w:tcBorders>
              <w:bottom w:val="single" w:color="auto" w:sz="4" w:space="0"/>
            </w:tcBorders>
          </w:tcPr>
          <w:p w14:paraId="128179F2">
            <w:pPr>
              <w:spacing w:before="50" w:beforeLines="15" w:after="50" w:afterLines="15"/>
              <w:rPr>
                <w:rFonts w:asciiTheme="minorEastAsia" w:hAnsiTheme="minorEastAsia"/>
                <w:b/>
                <w:sz w:val="22"/>
                <w:szCs w:val="21"/>
              </w:rPr>
            </w:pPr>
            <w:r>
              <w:rPr>
                <w:rFonts w:hint="eastAsia" w:asciiTheme="minorEastAsia" w:hAnsiTheme="minorEastAsia"/>
                <w:b/>
                <w:sz w:val="22"/>
                <w:szCs w:val="21"/>
              </w:rPr>
              <w:t>实习经历</w:t>
            </w:r>
          </w:p>
        </w:tc>
      </w:tr>
      <w:tr w14:paraId="2B2E2F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8784" w:type="dxa"/>
            <w:tcBorders>
              <w:top w:val="single" w:color="auto" w:sz="4" w:space="0"/>
            </w:tcBorders>
          </w:tcPr>
          <w:p w14:paraId="5FC8CC06">
            <w:pPr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VisionX, LLC</w:t>
            </w:r>
          </w:p>
          <w:p w14:paraId="6771269D">
            <w:pPr>
              <w:rPr>
                <w:sz w:val="20"/>
                <w:szCs w:val="21"/>
              </w:rPr>
            </w:pPr>
            <w:r>
              <w:rPr>
                <w:rFonts w:hint="eastAsia" w:ascii="楷体" w:hAnsi="楷体" w:eastAsia="楷体"/>
                <w:sz w:val="21"/>
                <w:szCs w:val="21"/>
              </w:rPr>
              <w:t>硬件工程实习生</w:t>
            </w:r>
          </w:p>
        </w:tc>
        <w:tc>
          <w:tcPr>
            <w:tcW w:w="1843" w:type="dxa"/>
            <w:tcBorders>
              <w:top w:val="single" w:color="auto" w:sz="4" w:space="0"/>
            </w:tcBorders>
          </w:tcPr>
          <w:p w14:paraId="279AF7FC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圣何塞，美国</w:t>
            </w:r>
          </w:p>
          <w:p w14:paraId="7A2A669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2024.07-2024.09</w:t>
            </w:r>
          </w:p>
        </w:tc>
      </w:tr>
      <w:tr w14:paraId="57DED6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10627" w:type="dxa"/>
            <w:gridSpan w:val="2"/>
          </w:tcPr>
          <w:p w14:paraId="68F22705">
            <w:pPr>
              <w:pStyle w:val="10"/>
              <w:numPr>
                <w:ilvl w:val="0"/>
                <w:numId w:val="1"/>
              </w:numPr>
              <w:ind w:firstLineChars="0"/>
              <w:jc w:val="both"/>
              <w:rPr>
                <w:rFonts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eastAsia="zh-CN"/>
              </w:rPr>
              <w:t>工作内容：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基于 OpenNCC 平台、Intel Movidius Myriad X VPU 与 OpenVINO 开发 AI 视觉应用，参与实时人体骨架追踪、手势识别及车牌检测识别；独立开发基于 YOLOv3/v4 的车辆盲区检测流程，识别周边车辆与行人，并基于 Lucas–Kanade 光流估计帧间运动、补偿相机抖动，实现视频防抖，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基于嵌入式环境进行实际的验证，处理过程中遇到的控制问题。</w:t>
            </w:r>
          </w:p>
        </w:tc>
      </w:tr>
      <w:tr w14:paraId="675D4A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10627" w:type="dxa"/>
            <w:gridSpan w:val="2"/>
            <w:tcBorders>
              <w:bottom w:val="single" w:color="auto" w:sz="4" w:space="0"/>
            </w:tcBorders>
          </w:tcPr>
          <w:p w14:paraId="25D07DF3">
            <w:pPr>
              <w:spacing w:before="50" w:beforeLines="15" w:after="50" w:afterLines="15"/>
              <w:rPr>
                <w:rFonts w:asciiTheme="minorEastAsia" w:hAnsiTheme="minorEastAsia"/>
                <w:b/>
                <w:sz w:val="22"/>
                <w:szCs w:val="21"/>
              </w:rPr>
            </w:pPr>
            <w:r>
              <w:rPr>
                <w:rFonts w:hint="eastAsia" w:asciiTheme="minorEastAsia" w:hAnsiTheme="minorEastAsia"/>
                <w:b/>
                <w:sz w:val="22"/>
                <w:szCs w:val="21"/>
              </w:rPr>
              <w:t>项目经历</w:t>
            </w:r>
          </w:p>
        </w:tc>
      </w:tr>
      <w:tr w14:paraId="46F34C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8784" w:type="dxa"/>
            <w:tcBorders>
              <w:top w:val="single" w:color="auto" w:sz="4" w:space="0"/>
            </w:tcBorders>
          </w:tcPr>
          <w:p w14:paraId="7F51516A">
            <w:pPr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全差分开关电容放大器设计（流水线 ADC 残差级）</w:t>
            </w:r>
          </w:p>
          <w:p w14:paraId="2CAC3879">
            <w:pPr>
              <w:rPr>
                <w:sz w:val="20"/>
                <w:szCs w:val="21"/>
              </w:rPr>
            </w:pPr>
            <w:r>
              <w:rPr>
                <w:rFonts w:hint="eastAsia" w:ascii="楷体" w:hAnsi="楷体" w:eastAsia="楷体"/>
                <w:sz w:val="21"/>
                <w:szCs w:val="21"/>
              </w:rPr>
              <w:t>课程项目（ELEN E6312）</w:t>
            </w:r>
          </w:p>
        </w:tc>
        <w:tc>
          <w:tcPr>
            <w:tcW w:w="1843" w:type="dxa"/>
            <w:tcBorders>
              <w:top w:val="single" w:color="auto" w:sz="4" w:space="0"/>
            </w:tcBorders>
          </w:tcPr>
          <w:p w14:paraId="722128D5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纽约，美国</w:t>
            </w:r>
          </w:p>
          <w:p w14:paraId="56E8242C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2026.05-2026.08</w:t>
            </w:r>
          </w:p>
        </w:tc>
      </w:tr>
      <w:tr w14:paraId="7D7A0B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10627" w:type="dxa"/>
            <w:gridSpan w:val="2"/>
          </w:tcPr>
          <w:p w14:paraId="5FDE378B">
            <w:pPr>
              <w:pStyle w:val="10"/>
              <w:numPr>
                <w:ilvl w:val="0"/>
                <w:numId w:val="1"/>
              </w:numPr>
              <w:ind w:firstLineChars="0"/>
              <w:jc w:val="both"/>
              <w:rPr>
                <w:rFonts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eastAsia="zh-CN"/>
              </w:rPr>
              <w:t>项目背景：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面向 1.5 bit/级流水线 ADC 残差级的采样保持与放大需求，设计 4 MHz 采样率、9 bit 精度的全差分开关电容两倍增益放大器，需在单个时钟相位内完成高精度建立并兼顾功耗。</w:t>
            </w:r>
          </w:p>
          <w:p w14:paraId="78848EA0">
            <w:pPr>
              <w:pStyle w:val="10"/>
              <w:numPr>
                <w:ilvl w:val="0"/>
                <w:numId w:val="1"/>
              </w:numPr>
              <w:ind w:firstLineChars="0"/>
              <w:jc w:val="both"/>
              <w:rPr>
                <w:rFonts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eastAsia="zh-CN"/>
              </w:rPr>
              <w:t>项目实现：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基于 TSMC 180 nm CMOS 工艺设计全差分开关电容放大链路，包含两级 Miller 补偿 OTA、开关电容共模反馈网络、MOS 传输门开关与 800 fF 采样电容；推导电荷域传输函数，完成噪声预算与开关电阻上限等系统级指标推导，采用非重叠时钟与底板采样抑制电荷注入；基于 Cadence Spectre 完成 OTA 交流特性与完整放大器瞬态验证。</w:t>
            </w:r>
          </w:p>
          <w:p w14:paraId="4768C001">
            <w:pPr>
              <w:pStyle w:val="10"/>
              <w:numPr>
                <w:ilvl w:val="0"/>
                <w:numId w:val="1"/>
              </w:numPr>
              <w:ind w:firstLineChars="0"/>
              <w:jc w:val="both"/>
              <w:rPr>
                <w:rFonts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eastAsia="zh-CN"/>
              </w:rPr>
              <w:t>项目成果：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OTA 实现 90.86 dB 直流增益、47.86 MHz 单位增益带宽与 80.32° 相位裕度，闭环增益误差远低于 LSB 要求；整路功耗约 450 µW（1.8 V 电源），FOM 达 0.220 pJ/转换步。</w:t>
            </w:r>
            <w:bookmarkStart w:id="0" w:name="_GoBack"/>
            <w:bookmarkEnd w:id="0"/>
          </w:p>
        </w:tc>
      </w:tr>
      <w:tr w14:paraId="3CD34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8784" w:type="dxa"/>
          </w:tcPr>
          <w:p w14:paraId="51414BAA">
            <w:pPr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1024 点 FFT 处理器 ASIC 设计</w:t>
            </w:r>
          </w:p>
          <w:p w14:paraId="11EFD34A">
            <w:pPr>
              <w:rPr>
                <w:sz w:val="20"/>
                <w:szCs w:val="21"/>
              </w:rPr>
            </w:pPr>
            <w:r>
              <w:rPr>
                <w:rFonts w:hint="eastAsia" w:ascii="楷体" w:hAnsi="楷体" w:eastAsia="楷体"/>
                <w:sz w:val="21"/>
                <w:szCs w:val="21"/>
              </w:rPr>
              <w:t>哥伦比亚大学课程项目</w:t>
            </w:r>
          </w:p>
        </w:tc>
        <w:tc>
          <w:tcPr>
            <w:tcW w:w="1843" w:type="dxa"/>
          </w:tcPr>
          <w:p w14:paraId="5F126333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2026.01-2026.05</w:t>
            </w:r>
          </w:p>
        </w:tc>
      </w:tr>
      <w:tr w14:paraId="08D1CB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10627" w:type="dxa"/>
            <w:gridSpan w:val="2"/>
          </w:tcPr>
          <w:p w14:paraId="490971F7">
            <w:pPr>
              <w:pStyle w:val="10"/>
              <w:numPr>
                <w:ilvl w:val="0"/>
                <w:numId w:val="1"/>
              </w:numPr>
              <w:ind w:firstLineChars="0"/>
              <w:jc w:val="both"/>
              <w:rPr>
                <w:rFonts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eastAsia="zh-CN"/>
              </w:rPr>
              <w:t>项目背景：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面向高速定点 FFT 运算需求，设计 1024 点 FFT 处理器 ASIC，要求在高时钟频率下兼顾计算精度、有效吞吐与物理可实现性。</w:t>
            </w:r>
          </w:p>
          <w:p w14:paraId="4F5CF673">
            <w:pPr>
              <w:pStyle w:val="10"/>
              <w:numPr>
                <w:ilvl w:val="0"/>
                <w:numId w:val="1"/>
              </w:numPr>
              <w:ind w:firstLineChars="0"/>
              <w:jc w:val="both"/>
              <w:rPr>
                <w:rFonts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eastAsia="zh-CN"/>
              </w:rPr>
              <w:t>项目实现：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基于 SystemVerilog 完成 radix-2 DIT 架构与 Q1.15 定点数据通路设计，实现可复用蝶形运算单元、512 项旋转因子 ROM 及双组 1024×32 bit SRAM；完成 RTL、综合后与布线后网表三级验证，对照 NumPy 参考模型 RMS 归一化误差约 1.16%；使用 Design Compiler/PrimeTime 与 Innovus 完成综合、SRAM 集成、布局、时钟树、布线及寄生参数提取。</w:t>
            </w:r>
          </w:p>
          <w:p w14:paraId="3C09AE8A">
            <w:pPr>
              <w:pStyle w:val="10"/>
              <w:numPr>
                <w:ilvl w:val="0"/>
                <w:numId w:val="1"/>
              </w:numPr>
              <w:ind w:firstLineChars="0"/>
              <w:jc w:val="both"/>
              <w:rPr>
                <w:rFonts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eastAsia="zh-CN"/>
              </w:rPr>
              <w:t>项目成果：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采用 TSMC 65 nm 工艺，在 100 MHz 约束下时钟建立/保持裕量 5.48/0.19 ns，有效吞吐率 3.70 MS/s，输出 GDSII、SPEF 与 SDF 文件。</w:t>
            </w:r>
          </w:p>
        </w:tc>
      </w:tr>
      <w:tr w14:paraId="567CE2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8784" w:type="dxa"/>
          </w:tcPr>
          <w:p w14:paraId="2A61DF8C">
            <w:pPr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Idaho Trail FPGA 嵌入式游戏系统</w:t>
            </w:r>
          </w:p>
          <w:p w14:paraId="18CF51E9">
            <w:pPr>
              <w:rPr>
                <w:sz w:val="20"/>
                <w:szCs w:val="21"/>
              </w:rPr>
            </w:pPr>
            <w:r>
              <w:rPr>
                <w:rFonts w:hint="eastAsia" w:ascii="楷体" w:hAnsi="楷体" w:eastAsia="楷体"/>
                <w:sz w:val="21"/>
                <w:szCs w:val="21"/>
              </w:rPr>
              <w:t>哥伦比亚大学课程项目</w:t>
            </w:r>
          </w:p>
        </w:tc>
        <w:tc>
          <w:tcPr>
            <w:tcW w:w="1843" w:type="dxa"/>
          </w:tcPr>
          <w:p w14:paraId="6D24E282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2026.01-2026.05</w:t>
            </w:r>
          </w:p>
        </w:tc>
      </w:tr>
      <w:tr w14:paraId="2736A9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10627" w:type="dxa"/>
            <w:gridSpan w:val="2"/>
          </w:tcPr>
          <w:p w14:paraId="4A6EC76E">
            <w:pPr>
              <w:pStyle w:val="10"/>
              <w:numPr>
                <w:ilvl w:val="0"/>
                <w:numId w:val="1"/>
              </w:numPr>
              <w:ind w:firstLineChars="0"/>
              <w:jc w:val="both"/>
              <w:rPr>
                <w:rFonts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eastAsia="zh-CN"/>
              </w:rPr>
              <w:t>项目背景：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基于 FPGA 设计嵌入式游戏系统，要求在有限硬件资源下实现视频输出、交互输入与游戏逻辑的稳定协同。</w:t>
            </w:r>
          </w:p>
          <w:p w14:paraId="261E292D">
            <w:pPr>
              <w:pStyle w:val="10"/>
              <w:numPr>
                <w:ilvl w:val="0"/>
                <w:numId w:val="1"/>
              </w:numPr>
              <w:ind w:firstLineChars="0"/>
              <w:jc w:val="both"/>
              <w:rPr>
                <w:rFonts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eastAsia="zh-CN"/>
              </w:rPr>
              <w:t>项目实现：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基于 DE1-SoC 平台与 Quartus Prime，使用 SystemVerilog 与 C 负责 640×480 VGA 显示控制器设计，支持文字、图像、动画及模式切换，实现 8 KB 文本缓存与双 64 KB RGB332 帧缓存的双缓冲图形更新；通过 Avalon-MM 接口与设备驱动连接 FPGA 与 Linux，集成 USB 键盘与游戏逻辑，调试显示时序、缓存寻址与同步。</w:t>
            </w:r>
          </w:p>
          <w:p w14:paraId="2A33AF55">
            <w:pPr>
              <w:pStyle w:val="10"/>
              <w:numPr>
                <w:ilvl w:val="0"/>
                <w:numId w:val="1"/>
              </w:numPr>
              <w:ind w:firstLineChars="0"/>
              <w:jc w:val="both"/>
              <w:rPr>
                <w:rFonts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eastAsia="zh-CN"/>
              </w:rPr>
              <w:t>项目成果：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系统 FMax 达 99.19 MHz，满足 50 MHz 系统时钟要求，完成显示、输入与游戏逻辑的稳定协同运行。</w:t>
            </w:r>
          </w:p>
        </w:tc>
      </w:tr>
      <w:tr w14:paraId="46F0F5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8784" w:type="dxa"/>
          </w:tcPr>
          <w:p w14:paraId="52965F91">
            <w:pPr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64 抽头 16 位 FIR 滤波器 ASIC 设计</w:t>
            </w:r>
          </w:p>
          <w:p w14:paraId="4DD4186C">
            <w:pPr>
              <w:rPr>
                <w:sz w:val="20"/>
                <w:szCs w:val="21"/>
              </w:rPr>
            </w:pPr>
            <w:r>
              <w:rPr>
                <w:rFonts w:hint="eastAsia" w:ascii="楷体" w:hAnsi="楷体" w:eastAsia="楷体"/>
                <w:sz w:val="21"/>
                <w:szCs w:val="21"/>
              </w:rPr>
              <w:t>哥伦比亚大学课程项目</w:t>
            </w:r>
          </w:p>
        </w:tc>
        <w:tc>
          <w:tcPr>
            <w:tcW w:w="1843" w:type="dxa"/>
          </w:tcPr>
          <w:p w14:paraId="5AB486B8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2025.08-2026.01</w:t>
            </w:r>
          </w:p>
        </w:tc>
      </w:tr>
      <w:tr w14:paraId="2CDD0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10627" w:type="dxa"/>
            <w:gridSpan w:val="2"/>
          </w:tcPr>
          <w:p w14:paraId="73BD11B6">
            <w:pPr>
              <w:pStyle w:val="10"/>
              <w:numPr>
                <w:ilvl w:val="0"/>
                <w:numId w:val="1"/>
              </w:numPr>
              <w:ind w:firstLineChars="0"/>
              <w:jc w:val="both"/>
              <w:rPr>
                <w:rFonts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eastAsia="zh-CN"/>
              </w:rPr>
              <w:t>项目背景：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面向低功耗数字信号滤波需求，设计 64 抽头 16 位 FIR 滤波器 ASIC，要求在 100 MHz 核心时钟下处理 10 kS/s 输入并控制面积与功耗。</w:t>
            </w:r>
          </w:p>
          <w:p w14:paraId="207E1625">
            <w:pPr>
              <w:pStyle w:val="10"/>
              <w:numPr>
                <w:ilvl w:val="0"/>
                <w:numId w:val="1"/>
              </w:numPr>
              <w:ind w:firstLineChars="0"/>
              <w:jc w:val="both"/>
              <w:rPr>
                <w:rFonts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eastAsia="zh-CN"/>
              </w:rPr>
              <w:t>项目实现：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基于 SystemVerilog 实现顺序乘累加架构与 Q1.15 输入/系数、Q7.9 输出数据通路，加入对称舍入、饱和及 FSM 控制；实现多级触发器同步与边沿检测，完成 RTL/门级仿真、综合及静态时序分析。</w:t>
            </w:r>
          </w:p>
          <w:p w14:paraId="225BC72E">
            <w:pPr>
              <w:pStyle w:val="10"/>
              <w:numPr>
                <w:ilvl w:val="0"/>
                <w:numId w:val="1"/>
              </w:numPr>
              <w:ind w:firstLineChars="0"/>
              <w:jc w:val="both"/>
              <w:rPr>
                <w:rFonts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eastAsia="zh-CN"/>
              </w:rPr>
              <w:t>项目成果：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采用 IBM 130 nm 工艺，关键路径 9.61 ns，单元面积 0.00216 mm²，功耗 3.4 mW，各项指标满足设计约束。</w:t>
            </w:r>
          </w:p>
        </w:tc>
      </w:tr>
      <w:tr w14:paraId="0C798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10627" w:type="dxa"/>
            <w:gridSpan w:val="2"/>
            <w:tcBorders>
              <w:bottom w:val="single" w:color="auto" w:sz="4" w:space="0"/>
            </w:tcBorders>
          </w:tcPr>
          <w:p w14:paraId="6E73B4D3">
            <w:pPr>
              <w:spacing w:before="50" w:beforeLines="15" w:after="50" w:afterLines="15"/>
              <w:rPr>
                <w:rFonts w:asciiTheme="minorEastAsia" w:hAnsiTheme="minorEastAsia"/>
                <w:b/>
                <w:sz w:val="22"/>
                <w:szCs w:val="21"/>
              </w:rPr>
            </w:pPr>
            <w:r>
              <w:rPr>
                <w:rFonts w:hint="eastAsia" w:asciiTheme="minorEastAsia" w:hAnsiTheme="minorEastAsia"/>
                <w:b/>
                <w:sz w:val="22"/>
                <w:szCs w:val="21"/>
              </w:rPr>
              <w:t>个人信息</w:t>
            </w:r>
          </w:p>
        </w:tc>
      </w:tr>
      <w:tr w14:paraId="40EE90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10627" w:type="dxa"/>
            <w:gridSpan w:val="2"/>
            <w:tcBorders>
              <w:top w:val="single" w:color="auto" w:sz="4" w:space="0"/>
            </w:tcBorders>
          </w:tcPr>
          <w:p w14:paraId="55A0100C">
            <w:pPr>
              <w:pStyle w:val="10"/>
              <w:numPr>
                <w:ilvl w:val="0"/>
                <w:numId w:val="1"/>
              </w:numPr>
              <w:ind w:firstLineChars="0"/>
              <w:jc w:val="both"/>
              <w:rPr>
                <w:rFonts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eastAsia="zh-CN"/>
              </w:rPr>
              <w:t>专业技能：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熟悉数字 IC 设计全流程（RTL/门级仿真、综合、静态时序分析、布局布线），掌握 SystemVerilog、Verilog、Python、C/C++、MATLAB；熟练使用 Design Compiler、PrimeTime、Innovus、Quartus Prime；具备 Embedded Linux、Avalon-MM、DE1-SoC 嵌入式开发经验；熟悉 OpenVINO 与 YOLOv3/v4 视觉模型应用。</w:t>
            </w:r>
          </w:p>
          <w:p w14:paraId="2103A5F0">
            <w:pPr>
              <w:pStyle w:val="10"/>
              <w:numPr>
                <w:ilvl w:val="0"/>
                <w:numId w:val="1"/>
              </w:numPr>
              <w:ind w:firstLineChars="0"/>
              <w:jc w:val="both"/>
              <w:rPr>
                <w:rFonts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eastAsia="zh-CN"/>
              </w:rPr>
              <w:t>英语水平：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中文母语，英语熟练，具备全英文教学环境下的学习与英文技术文档阅读能力。</w:t>
            </w:r>
          </w:p>
        </w:tc>
      </w:tr>
    </w:tbl>
    <w:p w14:paraId="547C37F4">
      <w:pPr>
        <w:snapToGrid w:val="0"/>
        <w:spacing w:before="0" w:after="0" w:line="20" w:lineRule="exact"/>
        <w:rPr>
          <w:sz w:val="2"/>
          <w:szCs w:val="2"/>
        </w:rPr>
      </w:pPr>
    </w:p>
    <w:sectPr>
      <w:pgSz w:w="11906" w:h="16838"/>
      <w:pgMar w:top="284" w:right="720" w:bottom="284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6132364"/>
    <w:multiLevelType w:val="multilevel"/>
    <w:tmpl w:val="36132364"/>
    <w:lvl w:ilvl="0" w:tentative="0">
      <w:start w:val="1"/>
      <w:numFmt w:val="bullet"/>
      <w:lvlText w:val=""/>
      <w:lvlJc w:val="left"/>
      <w:pPr>
        <w:ind w:left="420" w:hanging="420"/>
      </w:pPr>
      <w:rPr>
        <w:rFonts w:hint="default" w:ascii="Symbol" w:hAnsi="Symbol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displayBackgroundShape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MwM2VkMDUxNGU5NjA0MmQyZmQzZDk2ZWI0Nzg3OTcifQ=="/>
  </w:docVars>
  <w:rsids>
    <w:rsidRoot w:val="00BD7A27"/>
    <w:rsid w:val="00000477"/>
    <w:rsid w:val="00007806"/>
    <w:rsid w:val="000633BB"/>
    <w:rsid w:val="00064DFC"/>
    <w:rsid w:val="0007325B"/>
    <w:rsid w:val="0008621A"/>
    <w:rsid w:val="00096307"/>
    <w:rsid w:val="000A1C25"/>
    <w:rsid w:val="000A72E3"/>
    <w:rsid w:val="000B2764"/>
    <w:rsid w:val="000C191E"/>
    <w:rsid w:val="000D4DED"/>
    <w:rsid w:val="000E41C8"/>
    <w:rsid w:val="000F644F"/>
    <w:rsid w:val="00102426"/>
    <w:rsid w:val="00110D15"/>
    <w:rsid w:val="001226E4"/>
    <w:rsid w:val="0012451E"/>
    <w:rsid w:val="00136FED"/>
    <w:rsid w:val="0015029E"/>
    <w:rsid w:val="00150BA1"/>
    <w:rsid w:val="001568FA"/>
    <w:rsid w:val="00157758"/>
    <w:rsid w:val="00171C45"/>
    <w:rsid w:val="001B06DE"/>
    <w:rsid w:val="001C5B7C"/>
    <w:rsid w:val="001E7EC0"/>
    <w:rsid w:val="00254843"/>
    <w:rsid w:val="00286C19"/>
    <w:rsid w:val="0029415A"/>
    <w:rsid w:val="002A3F58"/>
    <w:rsid w:val="002D7435"/>
    <w:rsid w:val="002D7739"/>
    <w:rsid w:val="002E73EF"/>
    <w:rsid w:val="00312C30"/>
    <w:rsid w:val="00322FDA"/>
    <w:rsid w:val="003262DC"/>
    <w:rsid w:val="00332B90"/>
    <w:rsid w:val="0034531B"/>
    <w:rsid w:val="00363D64"/>
    <w:rsid w:val="003657BE"/>
    <w:rsid w:val="00394BD3"/>
    <w:rsid w:val="003A311B"/>
    <w:rsid w:val="003B1D67"/>
    <w:rsid w:val="003F1F50"/>
    <w:rsid w:val="003F4931"/>
    <w:rsid w:val="003F5075"/>
    <w:rsid w:val="00421260"/>
    <w:rsid w:val="00460A74"/>
    <w:rsid w:val="004618AC"/>
    <w:rsid w:val="00480980"/>
    <w:rsid w:val="00494E13"/>
    <w:rsid w:val="004A3996"/>
    <w:rsid w:val="004B7E11"/>
    <w:rsid w:val="004C2CA5"/>
    <w:rsid w:val="004C620B"/>
    <w:rsid w:val="004C6A34"/>
    <w:rsid w:val="00523D90"/>
    <w:rsid w:val="0052681B"/>
    <w:rsid w:val="00554C76"/>
    <w:rsid w:val="00560E4C"/>
    <w:rsid w:val="00567D45"/>
    <w:rsid w:val="00573914"/>
    <w:rsid w:val="00586C29"/>
    <w:rsid w:val="00594880"/>
    <w:rsid w:val="005F06FF"/>
    <w:rsid w:val="005F315B"/>
    <w:rsid w:val="005F7FFE"/>
    <w:rsid w:val="00636A8E"/>
    <w:rsid w:val="006640E6"/>
    <w:rsid w:val="00667341"/>
    <w:rsid w:val="00672430"/>
    <w:rsid w:val="0068432E"/>
    <w:rsid w:val="006A2112"/>
    <w:rsid w:val="006C1816"/>
    <w:rsid w:val="006C674E"/>
    <w:rsid w:val="006C6CFF"/>
    <w:rsid w:val="006D6FCE"/>
    <w:rsid w:val="006E00BD"/>
    <w:rsid w:val="006E7ED1"/>
    <w:rsid w:val="007160AF"/>
    <w:rsid w:val="00742C5C"/>
    <w:rsid w:val="00791A37"/>
    <w:rsid w:val="007B3060"/>
    <w:rsid w:val="007F27F0"/>
    <w:rsid w:val="00810F81"/>
    <w:rsid w:val="008177F6"/>
    <w:rsid w:val="008272BD"/>
    <w:rsid w:val="0083339A"/>
    <w:rsid w:val="008411C7"/>
    <w:rsid w:val="00896B3A"/>
    <w:rsid w:val="008B287D"/>
    <w:rsid w:val="008D01D1"/>
    <w:rsid w:val="008D0BBC"/>
    <w:rsid w:val="008F7CDE"/>
    <w:rsid w:val="0090221B"/>
    <w:rsid w:val="0091411B"/>
    <w:rsid w:val="00956621"/>
    <w:rsid w:val="009569B5"/>
    <w:rsid w:val="00956D61"/>
    <w:rsid w:val="0095702C"/>
    <w:rsid w:val="009722E9"/>
    <w:rsid w:val="00986447"/>
    <w:rsid w:val="009930A6"/>
    <w:rsid w:val="009A166C"/>
    <w:rsid w:val="009A16A7"/>
    <w:rsid w:val="009C6CBA"/>
    <w:rsid w:val="00A015AA"/>
    <w:rsid w:val="00A25DC2"/>
    <w:rsid w:val="00A37CF6"/>
    <w:rsid w:val="00A44617"/>
    <w:rsid w:val="00A46C8C"/>
    <w:rsid w:val="00A97314"/>
    <w:rsid w:val="00AB4FF8"/>
    <w:rsid w:val="00AB5A8F"/>
    <w:rsid w:val="00B04C92"/>
    <w:rsid w:val="00B16715"/>
    <w:rsid w:val="00B209F7"/>
    <w:rsid w:val="00B24D4F"/>
    <w:rsid w:val="00B26C3E"/>
    <w:rsid w:val="00B43219"/>
    <w:rsid w:val="00B511E3"/>
    <w:rsid w:val="00B54AA9"/>
    <w:rsid w:val="00B77126"/>
    <w:rsid w:val="00B85ECB"/>
    <w:rsid w:val="00BB1B9C"/>
    <w:rsid w:val="00BB317A"/>
    <w:rsid w:val="00BC676A"/>
    <w:rsid w:val="00BC7480"/>
    <w:rsid w:val="00BD7A27"/>
    <w:rsid w:val="00C22E20"/>
    <w:rsid w:val="00C24EEA"/>
    <w:rsid w:val="00C535C1"/>
    <w:rsid w:val="00C76A57"/>
    <w:rsid w:val="00CA617E"/>
    <w:rsid w:val="00CB43D8"/>
    <w:rsid w:val="00CD4027"/>
    <w:rsid w:val="00CD43EA"/>
    <w:rsid w:val="00D3583C"/>
    <w:rsid w:val="00D62FF3"/>
    <w:rsid w:val="00D7709C"/>
    <w:rsid w:val="00D8285D"/>
    <w:rsid w:val="00D8315B"/>
    <w:rsid w:val="00D840FB"/>
    <w:rsid w:val="00D908B2"/>
    <w:rsid w:val="00D90BE9"/>
    <w:rsid w:val="00D93E66"/>
    <w:rsid w:val="00D96670"/>
    <w:rsid w:val="00DB31E8"/>
    <w:rsid w:val="00DB333F"/>
    <w:rsid w:val="00DB4DEE"/>
    <w:rsid w:val="00DB746A"/>
    <w:rsid w:val="00DD162C"/>
    <w:rsid w:val="00E23DC8"/>
    <w:rsid w:val="00E32346"/>
    <w:rsid w:val="00E35CEB"/>
    <w:rsid w:val="00E66AD2"/>
    <w:rsid w:val="00E92AB5"/>
    <w:rsid w:val="00EC0BEF"/>
    <w:rsid w:val="00EC7011"/>
    <w:rsid w:val="00EC726F"/>
    <w:rsid w:val="00ED71C5"/>
    <w:rsid w:val="00F216F9"/>
    <w:rsid w:val="00F3124E"/>
    <w:rsid w:val="00F34C61"/>
    <w:rsid w:val="00F4617E"/>
    <w:rsid w:val="00F63AAE"/>
    <w:rsid w:val="00F6441F"/>
    <w:rsid w:val="00F77935"/>
    <w:rsid w:val="00FA111B"/>
    <w:rsid w:val="00FA11A6"/>
    <w:rsid w:val="00FC2643"/>
    <w:rsid w:val="00FD7DD5"/>
    <w:rsid w:val="00FE6214"/>
    <w:rsid w:val="00FF27C6"/>
    <w:rsid w:val="06134DB2"/>
    <w:rsid w:val="0B7F0142"/>
    <w:rsid w:val="0BB554AC"/>
    <w:rsid w:val="11CB00E2"/>
    <w:rsid w:val="18CA5640"/>
    <w:rsid w:val="1ECF4C78"/>
    <w:rsid w:val="23564C8C"/>
    <w:rsid w:val="2D8017AD"/>
    <w:rsid w:val="37CF0826"/>
    <w:rsid w:val="397D1432"/>
    <w:rsid w:val="44A856CB"/>
    <w:rsid w:val="467D4CB9"/>
    <w:rsid w:val="4E2125F7"/>
    <w:rsid w:val="559F1D86"/>
    <w:rsid w:val="59745AAB"/>
    <w:rsid w:val="5DEC6929"/>
    <w:rsid w:val="63540463"/>
    <w:rsid w:val="6C7C4E6A"/>
    <w:rsid w:val="6D097776"/>
    <w:rsid w:val="701C433B"/>
    <w:rsid w:val="760C586A"/>
    <w:rsid w:val="79D64DCD"/>
    <w:rsid w:val="79DF0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  <w:style w:type="paragraph" w:customStyle="1" w:styleId="10">
    <w:name w:val="列出段落1"/>
    <w:basedOn w:val="1"/>
    <w:qFormat/>
    <w:uiPriority w:val="34"/>
    <w:pPr>
      <w:widowControl/>
      <w:ind w:firstLine="420" w:firstLineChars="200"/>
      <w:jc w:val="left"/>
    </w:pPr>
    <w:rPr>
      <w:rFonts w:ascii="Times New Roman" w:hAnsi="Times New Roman" w:eastAsia="Times New Roman" w:cs="Times New Roman"/>
      <w:kern w:val="0"/>
      <w:sz w:val="24"/>
      <w:szCs w:val="24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爱思益</Company>
  <Pages>2</Pages>
  <Words>1423</Words>
  <Characters>2113</Characters>
  <Lines>13</Lines>
  <Paragraphs>3</Paragraphs>
  <TotalTime>626</TotalTime>
  <ScaleCrop>false</ScaleCrop>
  <LinksUpToDate>false</LinksUpToDate>
  <CharactersWithSpaces>2327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2016-07-27T10:22:00Z</dcterms:created>
  <dc:creator>Ace Offer</dc:creator>
  <cp:lastModifiedBy>M</cp:lastModifiedBy>
  <dcterms:modified xsi:type="dcterms:W3CDTF">2026-10-28T08:08:07Z</dcterms:modified>
  <cp:revision>119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RubyTemplateID" linkTarget="0">
    <vt:lpwstr>4</vt:lpwstr>
  </property>
  <property fmtid="{D5CDD505-2E9C-101B-9397-08002B2CF9AE}" pid="4" name="ICV">
    <vt:lpwstr>9954A8198BDE4D6AAAF0A5FEDB3E2DA2_13</vt:lpwstr>
  </property>
  <property fmtid="{D5CDD505-2E9C-101B-9397-08002B2CF9AE}" pid="5" name="KSOTemplateDocerSaveRecord">
    <vt:lpwstr>eyJoZGlkIjoiZTYyNjE0MGMwYTFiNGI4MjVjOTgzNzY2NjQyMDlhMmQiLCJ1c2VySWQiOiIyNzU4NTg4NDMifQ==</vt:lpwstr>
  </property>
</Properties>
</file>